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6.png" ContentType="image/png"/>
  <Override PartName="/word/media/rId42.png" ContentType="image/png"/>
  <Override PartName="/word/media/rId28.png" ContentType="image/png"/>
  <Override PartName="/word/media/rId43.png" ContentType="image/png"/>
  <Override PartName="/word/media/rId48.png" ContentType="image/png"/>
  <Override PartName="/word/media/rId27.png" ContentType="image/png"/>
  <Override PartName="/word/media/rId32.png" ContentType="image/png"/>
  <Override PartName="/word/media/rId51.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21704"/>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21704"/>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8" w:name="data-preparation"/>
    <w:p>
      <w:pPr>
        <w:pStyle w:val="Heading2"/>
      </w:pPr>
      <w:r>
        <w:t xml:space="preserve">Data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285631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2856313"/>
                    </a:xfrm>
                    <a:prstGeom prst="rect">
                      <a:avLst/>
                    </a:prstGeom>
                    <a:noFill/>
                    <a:ln w="9525">
                      <a:noFill/>
                      <a:headEnd/>
                      <a:tailEnd/>
                    </a:ln>
                  </pic:spPr>
                </pic:pic>
              </a:graphicData>
            </a:graphic>
          </wp:inline>
        </w:drawing>
      </w:r>
    </w:p>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before analysis.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w:t>
      </w:r>
    </w:p>
    <w:p>
      <w:pPr>
        <w:pStyle w:val="BodyText"/>
      </w:pPr>
      <m:oMathPara>
        <m:oMathParaPr>
          <m:jc m:val="center"/>
        </m:oMathParaPr>
        <m:oMath>
          <m:r>
            <m:t>L</m:t>
          </m:r>
          <m:r>
            <m:t>+</m:t>
          </m:r>
          <m:r>
            <m:t>(</m:t>
          </m:r>
          <m:r>
            <m:t>(</m:t>
          </m:r>
          <m:r>
            <m:t>K</m:t>
          </m:r>
          <m:r>
            <m:t>−</m:t>
          </m:r>
          <m:r>
            <m:t>L</m:t>
          </m:r>
          <m:r>
            <m:t>)</m:t>
          </m:r>
          <m:r>
            <m:t>/</m:t>
          </m:r>
          <m:r>
            <m:t>(</m:t>
          </m:r>
          <m:r>
            <m:t>1</m:t>
          </m:r>
          <m:r>
            <m:t>+</m:t>
          </m:r>
          <m:r>
            <m:t>1</m:t>
          </m:r>
          <m:r>
            <m:t>/</m:t>
          </m:r>
          <m:r>
            <m:t>θ</m:t>
          </m:r>
          <m:r>
            <m:t>*</m:t>
          </m:r>
          <m:r>
            <m:t>e</m:t>
          </m:r>
          <m:r>
            <m:t>x</m:t>
          </m:r>
          <m:r>
            <m:t>p</m:t>
          </m:r>
          <m:r>
            <m:t>(</m:t>
          </m:r>
          <m:r>
            <m:t>−</m:t>
          </m:r>
          <m:r>
            <m:t>(</m:t>
          </m:r>
          <m:r>
            <m:t>r</m:t>
          </m:r>
          <m:r>
            <m:t>*</m:t>
          </m:r>
          <m:r>
            <m:t>(</m:t>
          </m:r>
          <m:r>
            <m:t>d</m:t>
          </m:r>
          <m:r>
            <m:t>o</m:t>
          </m:r>
          <m:r>
            <m:t>y</m:t>
          </m:r>
          <m:r>
            <m:t>−</m:t>
          </m:r>
          <m:r>
            <m:t>d</m:t>
          </m:r>
          <m:r>
            <m:t>o</m:t>
          </m:r>
          <m:sSub>
            <m:e>
              <m:r>
                <m:t>y</m:t>
              </m:r>
            </m:e>
            <m:sub>
              <m:r>
                <m:t>i</m:t>
              </m:r>
              <m:r>
                <m:t>p</m:t>
              </m:r>
            </m:sub>
          </m:sSub>
          <m:r>
            <m:t>)</m:t>
          </m:r>
          <m:r>
            <m:t>/</m:t>
          </m:r>
          <m:r>
            <m:t>θ</m:t>
          </m:r>
          <m:r>
            <m:t>)</m:t>
          </m:r>
          <m:sSup>
            <m:e>
              <m:r>
                <m:t>)</m:t>
              </m:r>
            </m:e>
            <m:sup>
              <m:r>
                <m:t>θ</m:t>
              </m:r>
            </m:sup>
          </m:sSup>
          <m:r>
            <m:t>)</m:t>
          </m:r>
          <m:r>
            <m:t>)</m:t>
          </m:r>
        </m:oMath>
      </m:oMathPara>
    </w:p>
    <w:p>
      <w:pPr>
        <w:pStyle w:val="FirstParagraph"/>
      </w:pPr>
      <w:r>
        <w:rPr>
          <w:b/>
        </w:rPr>
        <w:t xml:space="preserve">(Cameron, please check formatting. It should be possible to write this more clearly with latex formatting. )</w:t>
      </w:r>
      <w:r>
        <w:t xml:space="preserve"> </w:t>
      </w: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theta 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occurs, and</w:t>
      </w:r>
      <w:r>
        <w:t xml:space="preserve"> </w:t>
      </w:r>
      <m:oMath>
        <m:r>
          <m:t>d</m:t>
        </m:r>
        <m:r>
          <m:t>o</m:t>
        </m:r>
        <m:r>
          <m:t>y</m:t>
        </m:r>
      </m:oMath>
      <w:r>
        <w:t xml:space="preserve"> </w:t>
      </w:r>
      <w:r>
        <w:t xml:space="preserve">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0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t>
      </w:r>
      <w:r>
        <w:rPr>
          <w:i/>
        </w:rPr>
        <w:t xml:space="preserve">describe chronology building– as in</w:t>
      </w:r>
      <w:r>
        <w:rPr>
          <w:i/>
        </w:rPr>
        <w:t xml:space="preserve"> </w:t>
      </w:r>
      <w:r>
        <w:rPr>
          <w:i/>
        </w:rPr>
        <w:t xml:space="preserve">(</w:t>
      </w:r>
      <w:r>
        <w:rPr>
          <w:b/>
          <w:i/>
        </w:rPr>
        <w:t xml:space="preserve">???</w:t>
      </w:r>
      <w:r>
        <w:rPr>
          <w:i/>
        </w:rPr>
        <w:t xml:space="preserve">)</w:t>
      </w:r>
      <w:r>
        <w:rPr>
          <w:i/>
        </w:rPr>
        <w:t xml:space="preserve">– Neil can do this quickly</w:t>
      </w:r>
      <w:r>
        <w:t xml:space="preserve">)</w:t>
      </w:r>
      <w:r>
        <w:t xml:space="preserve"> </w:t>
      </w:r>
      <w:r>
        <w:t xml:space="preserve">Start year was defined at SSS=0.8.</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climwin"/>
    <w:p>
      <w:pPr>
        <w:pStyle w:val="Heading2"/>
      </w:pP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9"/>
    <w:bookmarkStart w:id="40" w:name="hypothesis-testing"/>
    <w:p>
      <w:pPr>
        <w:pStyle w:val="Heading2"/>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3"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407615"/>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407615"/>
                    </a:xfrm>
                    <a:prstGeom prst="rect">
                      <a:avLst/>
                    </a:prstGeom>
                    <a:noFill/>
                    <a:ln w="9525">
                      <a:noFill/>
                      <a:headEnd/>
                      <a:tailEnd/>
                    </a:ln>
                  </pic:spPr>
                </pic:pic>
              </a:graphicData>
            </a:graphic>
          </wp:inline>
        </w:drawing>
      </w:r>
    </w:p>
    <w:bookmarkEnd w:id="44"/>
    <w:bookmarkStart w:id="47" w:name="optimal-climate-windows"/>
    <w:p>
      <w:pPr>
        <w:pStyle w:val="Heading2"/>
      </w:pP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5">
        <w:r>
          <w:rPr>
            <w:rStyle w:val="Hyperlink"/>
            <w:b/>
          </w:rPr>
          <w:t xml:space="preserve">issue 34</w:t>
        </w:r>
      </w:hyperlink>
      <w:r>
        <w:t xml:space="preserve"> </w:t>
      </w:r>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6"/>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7"/>
    <w:bookmarkStart w:id="50" w:name="climate-sensitivity-of-phenology"/>
    <w:p>
      <w:pPr>
        <w:pStyle w:val="Heading2"/>
      </w:pP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50"/>
    <w:bookmarkStart w:id="52"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2"/>
    <w:bookmarkEnd w:id="53"/>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77" w:name="references"/>
    <w:p>
      <w:pPr>
        <w:pStyle w:val="Heading1"/>
      </w:pPr>
      <w:r>
        <w:t xml:space="preserve">References</w:t>
      </w:r>
    </w:p>
    <w:bookmarkStart w:id="76" w:name="refs"/>
    <w:bookmarkStart w:id="59"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9"/>
    <w:bookmarkStart w:id="61"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0">
        <w:r>
          <w:rPr>
            <w:rStyle w:val="Hyperlink"/>
          </w:rPr>
          <w:t xml:space="preserve">https://doi.org/10.1111/j.1365-2486.2005.001012.x</w:t>
        </w:r>
      </w:hyperlink>
    </w:p>
    <w:bookmarkEnd w:id="61"/>
    <w:bookmarkStart w:id="6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2">
        <w:r>
          <w:rPr>
            <w:rStyle w:val="Hyperlink"/>
          </w:rPr>
          <w:t xml:space="preserve">https://doi.org/10.1175/JCLI3800.1</w:t>
        </w:r>
      </w:hyperlink>
    </w:p>
    <w:bookmarkEnd w:id="63"/>
    <w:bookmarkStart w:id="65"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4">
        <w:r>
          <w:rPr>
            <w:rStyle w:val="Hyperlink"/>
          </w:rPr>
          <w:t xml:space="preserve">https://doi.org/10.1111/gcb.14731</w:t>
        </w:r>
      </w:hyperlink>
    </w:p>
    <w:bookmarkEnd w:id="65"/>
    <w:bookmarkStart w:id="67"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6">
        <w:r>
          <w:rPr>
            <w:rStyle w:val="Hyperlink"/>
          </w:rPr>
          <w:t xml:space="preserve">https://doi.org/10.1038/nclimate2253</w:t>
        </w:r>
      </w:hyperlink>
    </w:p>
    <w:bookmarkEnd w:id="67"/>
    <w:bookmarkStart w:id="69"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8">
        <w:r>
          <w:rPr>
            <w:rStyle w:val="Hyperlink"/>
          </w:rPr>
          <w:t xml:space="preserve">https://doi.org/10.1002/ece3.1117</w:t>
        </w:r>
      </w:hyperlink>
    </w:p>
    <w:bookmarkEnd w:id="69"/>
    <w:bookmarkStart w:id="71"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0">
        <w:r>
          <w:rPr>
            <w:rStyle w:val="Hyperlink"/>
          </w:rPr>
          <w:t xml:space="preserve">https://doi.org/10.1007/s13595-020-01008-1</w:t>
        </w:r>
      </w:hyperlink>
    </w:p>
    <w:bookmarkEnd w:id="71"/>
    <w:bookmarkStart w:id="73"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2">
        <w:r>
          <w:rPr>
            <w:rStyle w:val="Hyperlink"/>
          </w:rPr>
          <w:t xml:space="preserve">https://doi.org/10.1016/j.catena.2020.104936</w:t>
        </w:r>
      </w:hyperlink>
    </w:p>
    <w:bookmarkEnd w:id="73"/>
    <w:bookmarkStart w:id="7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4">
        <w:r>
          <w:rPr>
            <w:rStyle w:val="Hyperlink"/>
          </w:rPr>
          <w:t xml:space="preserve">https://doi.org/10.1016/j.agrformet.2016.06.010</w:t>
        </w:r>
      </w:hyperlink>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1" Target="media/rId51.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2020-12-04T18:48:33Z</dcterms:created>
  <dcterms:modified xsi:type="dcterms:W3CDTF">2020-12-04T18:48:33Z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